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DFE9EA"/>
          <w:left w:val="single" w:sz="4" w:space="0" w:color="DFE9EA"/>
          <w:bottom w:val="single" w:sz="4" w:space="0" w:color="DFE9EA"/>
          <w:right w:val="single" w:sz="4" w:space="0" w:color="DFE9E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5"/>
      </w:tblGrid>
      <w:tr w:rsidR="00205F19" w:rsidRPr="00205F19" w:rsidTr="00205F19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05F19" w:rsidRPr="00205F19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480" w:type="dxa"/>
                    <w:bottom w:w="0" w:type="dxa"/>
                    <w:right w:w="480" w:type="dxa"/>
                  </w:tcMar>
                  <w:hideMark/>
                </w:tcPr>
                <w:p w:rsidR="00205F19" w:rsidRPr="00205F19" w:rsidRDefault="00205F19" w:rsidP="00205F19">
                  <w:pPr>
                    <w:spacing w:before="360" w:after="36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Святая Пятидесятница</w:t>
                  </w:r>
                </w:p>
              </w:tc>
            </w:tr>
          </w:tbl>
          <w:p w:rsidR="00205F19" w:rsidRPr="00205F19" w:rsidRDefault="00205F19" w:rsidP="00205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05F19" w:rsidRPr="00205F19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480" w:type="dxa"/>
                    <w:bottom w:w="0" w:type="dxa"/>
                    <w:right w:w="480" w:type="dxa"/>
                  </w:tcMar>
                  <w:hideMark/>
                </w:tcPr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Событие сошествия на апостолов Святого Духа, которое прославляет праздник Пятидесятницы, подробно изложено во 2-й главе книги Деяний апостольских: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ind w:left="600" w:right="600"/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При наступлении дня Пятидесятницы все они были единодушно вместе. 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Святаго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, и начали говорить на иных языках, как Дух давал им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провещевать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205F19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  <w:t>В Иерусалиме же находились Иудеи, люди набожные, из всякого народа под небом. Когда сделался этот шум, собрался народ, и пришел в смятение, ибо каждый слышал их говорящих его наречием.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ind w:left="600" w:right="600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(Деяния святых апостолов, 2:1-6)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Во время Своей земной жизни </w:t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Спаситель неоднократно предсказывал ученикам пришествие Утешителя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, Духа истины, Который обличит мир в грехе, наставит апостолов на благодатный путь истины и правды и прославит Христа. Перед Вознесением Иисус повторил апостолам Свое обещание послать Утешителя: «Вы примете силу, когда сойдет на вас 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».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Значение снисхождения Святого Духа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 можно без преувеличения назвать чрезвычайным. Ведь этот день явился подлинным рождением Христовой Церкви. Апостолы впервые отбросили все опасения перед иудейскими старейшинами и первосвященниками и вышли на проповедь распятого и воскресшего Спасителя мира. И богатые плоды не замедлили себя ждать: около трех тысяч человек в первый же день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промыслительно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приняли крещение во имя Иисуса Христа.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05F19" w:rsidRPr="00205F19" w:rsidRDefault="00205F19" w:rsidP="00205F19">
                  <w:pPr>
                    <w:spacing w:before="360" w:after="36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Особенности богослужения Пятидесятницы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В день праздника сразу же после Литургии совершается </w:t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великая вечерня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. На ней читаются три молитвы святителя Василия Великого с коленопреклонением.</w:t>
                  </w:r>
                </w:p>
              </w:tc>
            </w:tr>
          </w:tbl>
          <w:p w:rsidR="00205F19" w:rsidRPr="00205F19" w:rsidRDefault="00205F19" w:rsidP="00205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05F19" w:rsidRPr="00205F19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480" w:type="dxa"/>
                    <w:bottom w:w="0" w:type="dxa"/>
                    <w:right w:w="480" w:type="dxa"/>
                  </w:tcMar>
                  <w:hideMark/>
                </w:tcPr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Праздник Пятидесятницы имеет шесть дней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попразднства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. Отдание бывает в следующую субботу.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Для полноты описания необходимо отметить, что седмица по Пятидесятнице сплошная, то есть отменяется пост в среду и пятницу. Такое разрешение поста установлено в честь Святого Духа, пришествие Которого празднуется в воскресенье и понедельник, и в честь семи даров Святого Духа и в честь Святой Троицы.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Молитвы коленопреклонения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 на вечерне Пятидесятницы имеют огромное символическое значение. Они введены в богослужение для того, чтобы сохранить и укрепить верующих в смиренном состоянии, сделать их способными, по примеру апостолов, к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целомудреннейшему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совершению достойных деяний в честь Святого Духа, а также к принятию бесценных даров благодати Божией. Неслучайно прихожане на этой вечерне встают на колени впервые после Пасхи.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05F19" w:rsidRPr="00205F19" w:rsidRDefault="00205F19" w:rsidP="00205F19">
                  <w:pPr>
                    <w:spacing w:before="360" w:after="36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Слова о Боге-Троице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Святитель Афанасий Великий</w:t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  <w:t>о троичности и единстве нашего Бога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Наша вера в том, что мы почитаем Единого Бога в Троице и Троицу в Единице. Иная есть Ипостась Отца, иная Сына, иная Святого Духа: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ind w:left="600" w:right="600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Бог-Отец никем не сотворен, не создан, не рожден;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Сын рожден от Отца, не сотворен, не создан;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Дух Святой не сотворен, не создан, не рожден, но от Отца исходит.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И в этой Святой Троице ничто не первое или последнее, ничто большее или меньшее. Но Едино Божество Отца, Сына и Святого Духа. Это не три бога, но Един.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Святитель Феофан Затворник</w:t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  <w:t>о прославлении Бога делами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Да хвалим, поем и величаем Троицу Пресвятую, благую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содетельницу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нашего спасения. И, со своей стороны, «прилагая к сему все старание», поспешим украсить себя всякими добродетелями по образу Создавшего и Воссоздавшего нас, чтобы не остаться «без успеха и плода в познании Господа» и не заградить себе «вход в вечное Царство», к которому мы призваны.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05F19" w:rsidRPr="00205F19" w:rsidRDefault="00205F19" w:rsidP="00205F19">
                  <w:pPr>
                    <w:spacing w:before="360" w:after="36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Слова о Пятидесятнице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Епископ Александр (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Милеант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)</w:t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  <w:t>о иудейской Пятидесятнице</w:t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  <w:t>и сошествии Святого Духа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Пятидесятница — то есть пятидесятый день после праздника Пасхи — был одним из трех великих ветхозаветных праздников. Этот праздник отмечал принятие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Синайского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законодательства при пророке Моисее, когда за полторы тысячи лет до Рождества Христова у подножья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Синайской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горы еврейский народ, освобожденный из Египта, вступил в союз с Богом. Евреи обещались Богу в послушании, а Господь обещал им Свое благоволение.</w:t>
                  </w:r>
                </w:p>
                <w:p w:rsidR="00205F19" w:rsidRPr="00205F19" w:rsidRDefault="00205F19" w:rsidP="00205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205F19" w:rsidRPr="00205F19" w:rsidRDefault="00205F19" w:rsidP="00205F19">
                  <w:pPr>
                    <w:spacing w:after="360" w:line="216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Дарование закона через пророка Моисея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По времени года праздник Пятидесятницы совпадал с окончанием жатвы и поэтому встречался с особенной радостью. Многие евреи, рассеянные по разным странам обширной Римской империи, старались к этому празднику прибыть в Иерусалим. Родившись в других странах, многие из них уже с трудом понимали свой родной еврейский язык, однако старались соблюдать свои национально-религиозные обычаи и хоть изредка совершать паломничество в Иерусалим.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Не случайно совпали в тот день два знаменательных события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 — сошествие Святого Духа и еврейская Пятидесятница. Ветхозаветная Пятидесятница отмечала избавление евреев из египетского рабства и начало свободной жизни в союзе с Богом. Сошествие Святого Духа на верующих в Иисуса Христа осуществляло освобождение верующих от власти дьявола и было началом нового, благодатного союза с Богом в Его духовном Царстве. Так праздник Пятидесятницы стал днем, когда ветхозаветная теократия, начавшаяся от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Синая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и долго управлявшая обществом через суровый письменный закон, заменилась новозаветной, в которой верующими людьми руководит Сам Бог, в духе свободы и любви.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Святитель Николай Сербский (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Велимирович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)</w:t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  <w:t>о совершенной любви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был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обетован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, и 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сошел. Кто мог обещать сошествие на землю Духа Всесильного, кроме Того, Кто знал, что Дух Сей послушает Его и сойдет? А по отношению к кому мог Дух Всесильный явить столь быстрое Свое послушание, если не по отношению к Тому, к Кому Он имеет совершенную любовь?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О, как совершенная любовь всегда готова к совершенному послушанию! Да ведь совершенная любовь не может быть совершенно выражена иначе, как в совершенном послушании. Любовь постоянно бдит в 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желании и готовности послушаться своего возлюбленного.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Преподобный Феодор Студит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Сам Бог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соделался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Утешителем нашим. Он утешает отягченных несчастиями, предохраняя их от изнеможения духом. Он утешает сердце, возводя его к непобедимому мужеству, как свидетельствует святой Давид: «Ты, Господи, помог мне, и утешил меня» (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Пс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. 85: 17).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Имея такого Утешителя, Духа Святого, Непобедимую Силу, Великого Защитника — Бога и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Споборника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, не убоимся страха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вражия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и не устрашимся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сопротивных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сил, но мужественно и твердо поспешим на подвиги. </w:t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Такой образ жизни есть приятнейший и счастливейший: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 ибо тогда человек, хотя находится в плоти и в мире, но духом обитает в невидимом, упокоеваясь духом от благодатного дыхания Духа Святого.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05F19" w:rsidRPr="00205F19" w:rsidRDefault="00205F19" w:rsidP="00205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Блаженный Августин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Если кто спросит кого-либо из нас: «Ты получил Святого Духа, почему ты не говоришь всеми языками?» — отвечать должно: «Я говорю всеми языками — потому что состою в Церкви. В том теле Христовом, которое говорит всеми языками».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Схиархимандрит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 Зосима (Сокур)</w:t>
                  </w:r>
                  <w:r w:rsidRPr="00205F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br/>
                    <w:t>о действии Святого Духа в нашей жизни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в храмах святых почивает, 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в сердцах наших почивает от дня крещения. 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сопровождает нас все дни жизни нашей во святых таинствах: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ind w:left="600" w:right="600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Начиная от крещения, миропомазания, когда священник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помазует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апостольским миром, говоря: «Печать дара Духа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Святаго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», запечатлены мы все от крещения печатью дара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Святаго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Духа, дарами Духа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Святаго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сопровождает нас в Таинстве исповеди, когда прощаются грехи наши.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освящает нас, когда мы причащаемся Тела и Крови Христовых.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освящает нас в Таинстве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елеопомазывания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— соборования, когда мы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помазуемся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святым елеем и вином.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в молитве нас освящает, в добрых делах нас освящает 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соприсутствует и сопутствует нам в нашей повседневной жизни.</w:t>
                  </w:r>
                </w:p>
                <w:p w:rsidR="00205F19" w:rsidRPr="00205F19" w:rsidRDefault="00205F19" w:rsidP="00205F19">
                  <w:pPr>
                    <w:spacing w:before="360" w:after="360" w:line="264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Когда мы оскорбляем Бога, отступает тогда Дух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Святый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, и тогда уныние, отчаяние нападают, и погибель на человека. Это самое страшное состояние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богооставленности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. Да сохранит Господь от этого, чтобы, невзирая на нашу греховность, Господь дал нам здоровые силы для покаяния. Кающегося всегда прощает Господь...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И при помощи Божией, при помощи благодати Духа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Святаго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, дай нам, Господи, очищаться. Чтобы Господь не отнял от нас Духа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Святаго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, чтобы Господь не отступил от нас, чтобы мы не стали безумными. Но чтобы благодать Духа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Святаго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соприсутствовала нам во все дни жизни нашей, до скончания жизни нашей и чтобы благодать Духа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Святаго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и ввела нас всех в Царствие Небесное, </w:t>
                  </w:r>
                  <w:proofErr w:type="spellStart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соделав</w:t>
                  </w:r>
                  <w:proofErr w:type="spellEnd"/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 xml:space="preserve"> нас сынами Света.</w:t>
                  </w:r>
                  <w:r w:rsidRPr="00205F1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99"/>
                    <w:gridCol w:w="2798"/>
                    <w:gridCol w:w="2798"/>
                  </w:tblGrid>
                  <w:tr w:rsidR="00205F19" w:rsidRPr="00205F19">
                    <w:trPr>
                      <w:trHeight w:val="6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5F19" w:rsidRPr="00205F19" w:rsidRDefault="00205F19" w:rsidP="00205F19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5F19" w:rsidRPr="00205F19" w:rsidRDefault="00205F19" w:rsidP="00205F1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5F19" w:rsidRPr="00205F19" w:rsidRDefault="00205F19" w:rsidP="00205F1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05F19" w:rsidRPr="00205F19" w:rsidRDefault="00205F19" w:rsidP="00205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F19" w:rsidRPr="00205F19" w:rsidRDefault="00205F19" w:rsidP="00205F19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DFE9EA"/>
                <w:bottom w:val="single" w:sz="4" w:space="0" w:color="DFE9E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6"/>
              <w:gridCol w:w="2816"/>
              <w:gridCol w:w="2190"/>
              <w:gridCol w:w="1877"/>
              <w:gridCol w:w="1564"/>
              <w:gridCol w:w="282"/>
            </w:tblGrid>
            <w:tr w:rsidR="00205F19" w:rsidRPr="00205F19">
              <w:trPr>
                <w:trHeight w:val="1320"/>
              </w:trPr>
              <w:tc>
                <w:tcPr>
                  <w:tcW w:w="480" w:type="dxa"/>
                  <w:vAlign w:val="center"/>
                  <w:hideMark/>
                </w:tcPr>
                <w:p w:rsidR="00205F19" w:rsidRPr="00205F19" w:rsidRDefault="00205F19" w:rsidP="00205F19">
                  <w:pPr>
                    <w:spacing w:after="36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0" w:type="dxa"/>
                  <w:vAlign w:val="center"/>
                  <w:hideMark/>
                </w:tcPr>
                <w:p w:rsidR="00205F19" w:rsidRPr="00205F19" w:rsidRDefault="00205F19" w:rsidP="00205F19">
                  <w:pPr>
                    <w:spacing w:after="36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205F19" w:rsidRPr="00205F19" w:rsidRDefault="00205F19" w:rsidP="00205F19">
                  <w:pPr>
                    <w:spacing w:after="36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vAlign w:val="center"/>
                  <w:hideMark/>
                </w:tcPr>
                <w:p w:rsidR="00205F19" w:rsidRPr="00205F19" w:rsidRDefault="00205F19" w:rsidP="00205F19">
                  <w:pPr>
                    <w:spacing w:after="36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05F19" w:rsidRPr="00205F19" w:rsidRDefault="00205F19" w:rsidP="00205F19">
                  <w:pPr>
                    <w:spacing w:after="36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" w:type="dxa"/>
                  <w:vAlign w:val="center"/>
                  <w:hideMark/>
                </w:tcPr>
                <w:p w:rsidR="00205F19" w:rsidRPr="00205F19" w:rsidRDefault="00205F19" w:rsidP="00205F19">
                  <w:pPr>
                    <w:spacing w:after="36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F19" w:rsidRPr="00205F19" w:rsidRDefault="00205F19" w:rsidP="00205F19">
            <w:pPr>
              <w:spacing w:after="0" w:line="240" w:lineRule="auto"/>
              <w:rPr>
                <w:rFonts w:ascii="Georgia" w:eastAsia="Times New Roman" w:hAnsi="Georgia" w:cs="Times New Roman"/>
                <w:vanish/>
                <w:color w:val="333333"/>
                <w:sz w:val="19"/>
                <w:szCs w:val="19"/>
                <w:lang w:eastAsia="ru-RU"/>
              </w:rPr>
            </w:pPr>
          </w:p>
          <w:p w:rsidR="00205F19" w:rsidRPr="00205F19" w:rsidRDefault="00205F19" w:rsidP="00205F1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205F19" w:rsidRPr="00205F19" w:rsidRDefault="00205F19" w:rsidP="00205F19">
      <w:pPr>
        <w:spacing w:after="0" w:line="269" w:lineRule="atLeast"/>
        <w:rPr>
          <w:rFonts w:ascii="Georgia" w:eastAsia="Times New Roman" w:hAnsi="Georgia" w:cs="Times New Roman"/>
          <w:vanish/>
          <w:color w:val="333333"/>
          <w:sz w:val="19"/>
          <w:szCs w:val="19"/>
          <w:lang w:eastAsia="ru-RU"/>
        </w:rPr>
      </w:pPr>
    </w:p>
    <w:sectPr w:rsidR="00205F19" w:rsidRPr="00205F19" w:rsidSect="00DA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F19"/>
    <w:rsid w:val="00205F19"/>
    <w:rsid w:val="00DA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F19"/>
  </w:style>
  <w:style w:type="character" w:styleId="a4">
    <w:name w:val="Strong"/>
    <w:basedOn w:val="a0"/>
    <w:uiPriority w:val="22"/>
    <w:qFormat/>
    <w:rsid w:val="00205F19"/>
    <w:rPr>
      <w:b/>
      <w:bCs/>
    </w:rPr>
  </w:style>
  <w:style w:type="character" w:styleId="a5">
    <w:name w:val="Hyperlink"/>
    <w:basedOn w:val="a0"/>
    <w:uiPriority w:val="99"/>
    <w:semiHidden/>
    <w:unhideWhenUsed/>
    <w:rsid w:val="00205F19"/>
    <w:rPr>
      <w:color w:val="0000FF"/>
      <w:u w:val="single"/>
    </w:rPr>
  </w:style>
  <w:style w:type="character" w:customStyle="1" w:styleId="js-extracted-address">
    <w:name w:val="js-extracted-address"/>
    <w:basedOn w:val="a0"/>
    <w:rsid w:val="00205F19"/>
  </w:style>
  <w:style w:type="character" w:customStyle="1" w:styleId="mail-message-map-nobreak">
    <w:name w:val="mail-message-map-nobreak"/>
    <w:basedOn w:val="a0"/>
    <w:rsid w:val="0020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2016-06-21T08:10:00Z</dcterms:created>
  <dcterms:modified xsi:type="dcterms:W3CDTF">2016-06-21T08:16:00Z</dcterms:modified>
</cp:coreProperties>
</file>